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Основные итоги деятельности Учреждения в 2016 году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 Ростовский  референтный центр Россельхознадзора было доставлено  </w:t>
      </w:r>
      <w:r>
        <w:rPr>
          <w:b/>
          <w:sz w:val="28"/>
          <w:szCs w:val="28"/>
        </w:rPr>
        <w:t>171 909  проб</w:t>
      </w:r>
      <w:r>
        <w:rPr>
          <w:sz w:val="28"/>
          <w:szCs w:val="28"/>
        </w:rPr>
        <w:t xml:space="preserve">, специалистами Учреждения проведено </w:t>
      </w:r>
      <w:r>
        <w:rPr>
          <w:b/>
          <w:sz w:val="28"/>
          <w:szCs w:val="28"/>
        </w:rPr>
        <w:t>633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тысячи 301  исследование</w:t>
      </w:r>
      <w:r>
        <w:rPr>
          <w:sz w:val="28"/>
          <w:szCs w:val="28"/>
        </w:rPr>
        <w:t xml:space="preserve"> по всем направлениям деятельности</w:t>
      </w:r>
      <w:r>
        <w:rPr>
          <w:rFonts w:eastAsia="Arial Unicode MS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выше уровня 2015 года </w:t>
      </w:r>
      <w:r>
        <w:rPr>
          <w:i/>
          <w:sz w:val="28"/>
          <w:szCs w:val="28"/>
        </w:rPr>
        <w:t>(2015 год – 167,9 тыс. проб,  593,9 тыс. исследований)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общего объема 51497 испытаний выполнено Волгоградским филиалом, 6878 испытаний - Астраханским филиалом.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Несоответствия требованиям ГОСТов и НД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выявлено</w:t>
      </w:r>
      <w:r>
        <w:rPr>
          <w:b/>
          <w:sz w:val="28"/>
          <w:szCs w:val="28"/>
        </w:rPr>
        <w:t xml:space="preserve"> в 28 тысячах 258 </w:t>
      </w:r>
      <w:r>
        <w:rPr>
          <w:sz w:val="28"/>
          <w:szCs w:val="28"/>
        </w:rPr>
        <w:t xml:space="preserve">случаях, </w:t>
      </w:r>
      <w:r>
        <w:rPr>
          <w:b/>
          <w:sz w:val="28"/>
          <w:szCs w:val="28"/>
        </w:rPr>
        <w:t>процент выявляемости составил 4,5%, что на уровне прошлого года.</w:t>
      </w:r>
    </w:p>
    <w:p>
      <w:pPr>
        <w:pStyle w:val="Normal"/>
        <w:spacing w:lineRule="auto" w:line="276"/>
        <w:ind w:firstLine="5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Основные производственные показатели Учреждения – отобрано и  проанализировано проб, проведено лабораторных испытаний и экспертиз, выявлено положительных результатов по всем направлениям деятельности представлены в диаграмме и  таблицах.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/>
        <w:drawing>
          <wp:inline distT="0" distB="0" distL="0" distR="0">
            <wp:extent cx="5270500" cy="339534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в Учреждение проб по направлениям деятельности 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2015-2016 гг.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0349" w:type="dxa"/>
        <w:jc w:val="left"/>
        <w:tblInd w:w="-86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89" w:type="dxa"/>
          <w:bottom w:w="0" w:type="dxa"/>
          <w:right w:w="99" w:type="dxa"/>
        </w:tblCellMar>
        <w:tblLook w:firstRow="0" w:noVBand="1" w:lastRow="0" w:firstColumn="0" w:lastColumn="0" w:noHBand="1" w:val="0600"/>
      </w:tblPr>
      <w:tblGrid>
        <w:gridCol w:w="1701"/>
        <w:gridCol w:w="992"/>
        <w:gridCol w:w="851"/>
        <w:gridCol w:w="993"/>
        <w:gridCol w:w="849"/>
        <w:gridCol w:w="851"/>
        <w:gridCol w:w="849"/>
        <w:gridCol w:w="851"/>
        <w:gridCol w:w="709"/>
        <w:gridCol w:w="1"/>
        <w:gridCol w:w="707"/>
        <w:gridCol w:w="993"/>
      </w:tblGrid>
      <w:tr>
        <w:trPr>
          <w:trHeight w:val="405" w:hRule="atLeast"/>
        </w:trPr>
        <w:tc>
          <w:tcPr>
            <w:tcW w:w="170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6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823" w:hRule="atLeast"/>
        </w:trPr>
        <w:tc>
          <w:tcPr>
            <w:tcW w:w="1701" w:type="dxa"/>
            <w:vMerge w:val="continue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7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561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7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sz w:val="20"/>
                <w:szCs w:val="20"/>
              </w:rPr>
              <w:t xml:space="preserve">Астраханская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</w:tr>
      <w:tr>
        <w:trPr>
          <w:trHeight w:val="450" w:hRule="atLeast"/>
        </w:trPr>
        <w:tc>
          <w:tcPr>
            <w:tcW w:w="1701" w:type="dxa"/>
            <w:vMerge w:val="continue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/>
            </w:pPr>
            <w:r>
              <w:rPr>
                <w:bCs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/>
            </w:pPr>
            <w:r>
              <w:rPr>
                <w:bCs/>
                <w:color w:val="000000"/>
              </w:rPr>
              <w:t>2015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/>
            </w:pPr>
            <w:r>
              <w:rPr>
                <w:bCs/>
                <w:color w:val="000000"/>
              </w:rPr>
              <w:t>2015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/>
            </w:pPr>
            <w:r>
              <w:rPr/>
              <w:t>2015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/>
            </w:pPr>
            <w:r>
              <w:rPr>
                <w:bCs/>
                <w:color w:val="000000"/>
              </w:rPr>
              <w:t>2015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2016</w:t>
            </w:r>
          </w:p>
        </w:tc>
      </w:tr>
      <w:tr>
        <w:trPr>
          <w:trHeight w:val="808" w:hRule="atLeast"/>
        </w:trPr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Карантин растений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140895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149735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30699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130068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4335</w:t>
            </w:r>
          </w:p>
        </w:tc>
      </w:tr>
      <w:tr>
        <w:trPr>
          <w:trHeight w:val="805" w:hRule="atLeast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Семеноводство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531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08" w:hRule="atLeast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Агрохимия  и плодородие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>
        <w:trPr>
          <w:trHeight w:val="650" w:hRule="atLeast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Ветеринария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9928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>
          <w:trHeight w:val="808" w:hRule="atLeast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Растениеводческая продукция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</w:tr>
      <w:tr>
        <w:trPr>
          <w:trHeight w:val="808" w:hRule="atLeast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08" w:hRule="atLeast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167895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171909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en-US"/>
              </w:rPr>
              <w:t>987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147207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15707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19808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89" w:type="dxa"/>
            </w:tcMar>
            <w:vAlign w:val="center"/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4656</w:t>
            </w:r>
          </w:p>
        </w:tc>
      </w:tr>
    </w:tbl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7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 задание № 081-00036-16 ПР на 2016 год  в количестве </w:t>
      </w:r>
      <w:r>
        <w:rPr>
          <w:b/>
          <w:sz w:val="28"/>
          <w:szCs w:val="28"/>
        </w:rPr>
        <w:t>31865</w:t>
      </w:r>
      <w:r>
        <w:rPr>
          <w:sz w:val="28"/>
          <w:szCs w:val="28"/>
        </w:rPr>
        <w:t xml:space="preserve">  испытаний выполнено в полном объеме, что составляет 5% от общего числа исследований.</w:t>
      </w:r>
    </w:p>
    <w:p>
      <w:pPr>
        <w:pStyle w:val="Normal"/>
        <w:spacing w:lineRule="auto" w:line="276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Положительные результаты выявлены в </w:t>
      </w:r>
      <w:r>
        <w:rPr>
          <w:rFonts w:eastAsia="Arial Unicode MS"/>
          <w:b/>
          <w:sz w:val="28"/>
          <w:szCs w:val="28"/>
        </w:rPr>
        <w:t>4078</w:t>
      </w:r>
      <w:r>
        <w:rPr>
          <w:rFonts w:eastAsia="Arial Unicode MS"/>
          <w:sz w:val="28"/>
          <w:szCs w:val="28"/>
        </w:rPr>
        <w:t xml:space="preserve"> случаях, что составляет </w:t>
      </w:r>
      <w:r>
        <w:rPr>
          <w:rFonts w:eastAsia="Arial Unicode MS"/>
          <w:b/>
          <w:sz w:val="28"/>
          <w:szCs w:val="28"/>
        </w:rPr>
        <w:t xml:space="preserve">12,6% </w:t>
      </w:r>
      <w:r>
        <w:rPr>
          <w:rFonts w:eastAsia="Arial Unicode MS"/>
          <w:sz w:val="28"/>
          <w:szCs w:val="28"/>
        </w:rPr>
        <w:t>выявляемости, это выше уровня 2015 года (11,5%).</w:t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firstLine="540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Государственное задание выполнено на 100%</w:t>
      </w:r>
    </w:p>
    <w:tbl>
      <w:tblPr>
        <w:tblW w:w="10066" w:type="dxa"/>
        <w:jc w:val="left"/>
        <w:tblInd w:w="-334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36" w:type="dxa"/>
          <w:bottom w:w="0" w:type="dxa"/>
          <w:right w:w="46" w:type="dxa"/>
        </w:tblCellMar>
        <w:tblLook w:firstRow="1" w:noVBand="1" w:lastRow="1" w:firstColumn="0" w:lastColumn="0" w:noHBand="0" w:val="0460"/>
      </w:tblPr>
      <w:tblGrid>
        <w:gridCol w:w="6237"/>
        <w:gridCol w:w="1134"/>
        <w:gridCol w:w="1133"/>
        <w:gridCol w:w="851"/>
        <w:gridCol w:w="711"/>
      </w:tblGrid>
      <w:tr>
        <w:trPr>
          <w:trHeight w:val="315" w:hRule="atLeast"/>
        </w:trPr>
        <w:tc>
          <w:tcPr>
            <w:tcW w:w="62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spacing w:lineRule="atLeast" w:line="3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исследований</w:t>
            </w:r>
          </w:p>
        </w:tc>
        <w:tc>
          <w:tcPr>
            <w:tcW w:w="382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cs="Arial" w:ascii="Arial" w:hAnsi="Arial"/>
                <w:sz w:val="32"/>
                <w:szCs w:val="36"/>
              </w:rPr>
            </w:r>
          </w:p>
        </w:tc>
      </w:tr>
      <w:tr>
        <w:trPr>
          <w:trHeight w:val="340" w:hRule="atLeast"/>
        </w:trPr>
        <w:tc>
          <w:tcPr>
            <w:tcW w:w="6237" w:type="dxa"/>
            <w:vMerge w:val="continue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1134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16" w:type="dxa"/>
            </w:tcMar>
            <w:vAlign w:val="center"/>
          </w:tcPr>
          <w:p>
            <w:pPr>
              <w:pStyle w:val="Normal"/>
              <w:spacing w:lineRule="atLeast" w:line="34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План </w:t>
            </w:r>
          </w:p>
        </w:tc>
        <w:tc>
          <w:tcPr>
            <w:tcW w:w="113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spacing w:lineRule="atLeast" w:line="34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Cs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56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spacing w:lineRule="atLeast" w:line="34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выявления</w:t>
            </w:r>
          </w:p>
        </w:tc>
      </w:tr>
      <w:tr>
        <w:trPr>
          <w:trHeight w:val="135" w:hRule="atLeast"/>
        </w:trPr>
        <w:tc>
          <w:tcPr>
            <w:tcW w:w="6237" w:type="dxa"/>
            <w:vMerge w:val="continue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1134" w:type="dxa"/>
            <w:vMerge w:val="continue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top w:w="0" w:type="dxa"/>
              <w:left w:w="-3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1133" w:type="dxa"/>
            <w:vMerge w:val="continue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top w:w="0" w:type="dxa"/>
              <w:left w:w="-1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spacing w:lineRule="atLeast" w:line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spacing w:lineRule="atLeast" w:line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val="957" w:hRule="atLeast"/>
        </w:trPr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>
        <w:trPr>
          <w:trHeight w:val="518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Исследования в области карантина растений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8364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  <w:tr>
        <w:trPr>
          <w:trHeight w:val="729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Исследования в области качества  и безопасности зерна, крупы, комбикормов и компонентов для их производства, а также побочных продуктов переработки зерна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>
        <w:trPr>
          <w:trHeight w:val="454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Исследования в области семеноводства с/х растений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>
        <w:trPr>
          <w:trHeight w:val="744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Исследования почв на содержание опасных химических веществ, патогенов, экопатогенов. Лабораторные исследования загрязнителей почв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>
        <w:trPr>
          <w:trHeight w:val="627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Исследования в области плодородия земель с/х назначения  в целях осуществления государственного земельного надзора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>
        <w:trPr>
          <w:trHeight w:val="654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Проведение лабораторных исследований в рамках  Плана государственного  мониторинга качества и безопасности пищевых продуктов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10857+477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идентиф.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10857+477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идентиф.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rPr>
          <w:trHeight w:val="794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исследования по диагностике и профилактике болезней животных, направленные на обеспечение охраны территории РФ от заноса из иностранных государств и распространения болезней животных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>
        <w:trPr>
          <w:trHeight w:val="667" w:hRule="atLeast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зерна, приобретаемого не для личных нужд потребителей, кормов и кормовых добавок на определение в них компонентов ГМО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CCFF99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>
        <w:trPr>
          <w:trHeight w:val="629" w:hRule="atLeast"/>
        </w:trPr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right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color w:val="C00000"/>
                <w:sz w:val="20"/>
                <w:szCs w:val="20"/>
              </w:rPr>
              <w:t>ИТОГО 2016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31865+477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29855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31865+477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29855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color w:val="C00000"/>
                <w:sz w:val="20"/>
                <w:szCs w:val="20"/>
              </w:rPr>
              <w:t>4078</w:t>
            </w:r>
          </w:p>
          <w:p>
            <w:pPr>
              <w:pStyle w:val="Normal"/>
              <w:jc w:val="center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color w:val="C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</w:t>
            </w:r>
          </w:p>
        </w:tc>
        <w:tc>
          <w:tcPr>
            <w:tcW w:w="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92D050" w:val="clear"/>
            <w:tcMar>
              <w:left w:w="36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color w:val="C00000"/>
                <w:sz w:val="20"/>
                <w:szCs w:val="20"/>
              </w:rPr>
              <w:t>12,6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</w:tbl>
    <w:p>
      <w:pPr>
        <w:pStyle w:val="Normal"/>
        <w:ind w:right="283" w:firstLine="708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tabs>
          <w:tab w:val="left" w:pos="1080" w:leader="none"/>
        </w:tabs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1080" w:leader="none"/>
        </w:tabs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5c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99"/>
    <w:qFormat/>
    <w:locked/>
    <w:rsid w:val="00f65c7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f65c79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a4"/>
    <w:uiPriority w:val="99"/>
    <w:qFormat/>
    <w:rsid w:val="00f65c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NormalWeb">
    <w:name w:val="Normal (Web)"/>
    <w:basedOn w:val="Normal"/>
    <w:unhideWhenUsed/>
    <w:qFormat/>
    <w:rsid w:val="00f65c79"/>
    <w:pPr>
      <w:spacing w:beforeAutospacing="1" w:afterAutospacing="1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f65c7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 Cyr"/>
                <a:ea typeface="Arial Cyr"/>
              </a:defRPr>
            </a:pPr>
            <a:r>
              <a:rPr b="1" sz="12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 Cyr"/>
                <a:ea typeface="Arial Cyr"/>
              </a:rPr>
              <a:t>Основные показатели производственной деятельности Учереждения (2015 - 2016гг.)</a:t>
            </a:r>
          </a:p>
        </c:rich>
      </c:tx>
      <c:overlay val="0"/>
    </c:title>
    <c:autoTitleDeleted val="0"/>
    <c:view3D>
      <c:rotX val="5"/>
      <c:rotY val="13"/>
      <c:rAngAx val="1"/>
      <c:perspective val="30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backWall>
      <c:spPr>
        <a:solidFill>
          <a:srgbClr val="ffffff"/>
        </a:solidFill>
        <a:ln w="12600">
          <a:solidFill>
            <a:srgbClr val="ffffff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поступило проб</c:v>
                </c:pt>
              </c:strCache>
            </c:strRef>
          </c:tx>
          <c:spPr>
            <a:solidFill>
              <a:srgbClr val="ff0000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dLbl>
              <c:idx val="0"/>
              <c:showLegendKey val="0"/>
              <c:showVal val="0"/>
              <c:showCatName val="0"/>
              <c:showSerName val="0"/>
              <c:showPercent val="0"/>
            </c:dLbl>
            <c:dLbl>
              <c:idx val="1"/>
              <c:showLegendKey val="0"/>
              <c:showVal val="0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2016г.,4,5% выявляемости</c:v>
                </c:pt>
                <c:pt idx="1">
                  <c:v>2015г., 4,5% выявляемости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171.909</c:v>
                </c:pt>
                <c:pt idx="1">
                  <c:v>167.895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проведено исследований </c:v>
                </c:pt>
              </c:strCache>
            </c:strRef>
          </c:tx>
          <c:spPr>
            <a:solidFill>
              <a:srgbClr val="00b050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dLbl>
              <c:idx val="0"/>
              <c:showLegendKey val="0"/>
              <c:showVal val="0"/>
              <c:showCatName val="0"/>
              <c:showSerName val="0"/>
              <c:showPercent val="0"/>
            </c:dLbl>
            <c:dLbl>
              <c:idx val="1"/>
              <c:showLegendKey val="0"/>
              <c:showVal val="0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2016г.,4,5% выявляемости</c:v>
                </c:pt>
                <c:pt idx="1">
                  <c:v>2015г., 4,5% выявляемости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633.301</c:v>
                </c:pt>
                <c:pt idx="1">
                  <c:v>593.969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выявлено отклонений</c:v>
                </c:pt>
              </c:strCache>
            </c:strRef>
          </c:tx>
          <c:spPr>
            <a:solidFill>
              <a:srgbClr val="ffff00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dLbl>
              <c:idx val="0"/>
              <c:showLegendKey val="0"/>
              <c:showVal val="0"/>
              <c:showCatName val="0"/>
              <c:showSerName val="0"/>
              <c:showPercent val="0"/>
            </c:dLbl>
            <c:dLbl>
              <c:idx val="1"/>
              <c:showLegendKey val="0"/>
              <c:showVal val="0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2016г.,4,5% выявляемости</c:v>
                </c:pt>
                <c:pt idx="1">
                  <c:v>2015г., 4,5% выявляемости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28.258</c:v>
                </c:pt>
                <c:pt idx="1">
                  <c:v>26.729</c:v>
                </c:pt>
              </c:numCache>
            </c:numRef>
          </c:val>
        </c:ser>
        <c:gapWidth val="150"/>
        <c:shape val="cylinder"/>
        <c:axId val="32705323"/>
        <c:axId val="38338579"/>
        <c:axId val="0"/>
      </c:bar3DChart>
      <c:catAx>
        <c:axId val="32705323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low"/>
        <c:spPr>
          <a:ln w="3240">
            <a:solidFill>
              <a:srgbClr val="000000"/>
            </a:solidFill>
            <a:round/>
          </a:ln>
        </c:spPr>
        <c:txPr>
          <a:bodyPr/>
          <a:p>
            <a:pPr>
              <a:defRPr b="1" sz="1200" spc="-1" strike="noStrike">
                <a:solidFill>
                  <a:srgbClr val="ff0000"/>
                </a:solidFill>
                <a:uFill>
                  <a:solidFill>
                    <a:srgbClr val="ffffff"/>
                  </a:solidFill>
                </a:uFill>
                <a:latin typeface="Times New Roman"/>
                <a:ea typeface="Times New Roman"/>
              </a:defRPr>
            </a:pPr>
          </a:p>
        </c:txPr>
        <c:crossAx val="38338579"/>
        <c:crosses val="autoZero"/>
        <c:auto val="1"/>
        <c:lblAlgn val="ctr"/>
        <c:lblOffset val="100"/>
      </c:catAx>
      <c:valAx>
        <c:axId val="38338579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p>
            <a:pPr>
              <a:defRPr b="0" sz="12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imes New Roman"/>
                <a:ea typeface="Times New Roman"/>
              </a:defRPr>
            </a:pPr>
          </a:p>
        </c:txPr>
        <c:crossAx val="32705323"/>
        <c:crosses val="autoZero"/>
      </c:valAx>
      <c:spPr>
        <a:solidFill>
          <a:srgbClr val="ffffff"/>
        </a:solidFill>
        <a:ln w="12600">
          <a:solidFill>
            <a:srgbClr val="ffffff"/>
          </a:solidFill>
          <a:round/>
        </a:ln>
      </c:spPr>
    </c:plotArea>
    <c:legend>
      <c:layout>
        <c:manualLayout>
          <c:xMode val="edge"/>
          <c:yMode val="edge"/>
          <c:x val="0.663375"/>
          <c:y val="0.489888888888889"/>
        </c:manualLayout>
      </c:layout>
      <c:spPr>
        <a:solidFill>
          <a:srgbClr val="ffffff"/>
        </a:solidFill>
        <a:ln w="3240">
          <a:solidFill>
            <a:srgbClr val="ffffff"/>
          </a:solidFill>
          <a:round/>
        </a:ln>
      </c:spPr>
    </c:legend>
    <c:plotVisOnly val="1"/>
    <c:dispBlanksAs val="gap"/>
  </c:chart>
  <c:spPr>
    <a:solidFill>
      <a:srgbClr val="ffffff"/>
    </a:solidFill>
    <a:ln w="3240">
      <a:solidFill>
        <a:srgbClr val="000000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LibreOffice/5.3.1.2$Windows_x86 LibreOffice_project/e80a0e0fd1875e1696614d24c32df0f95f03deb2</Application>
  <Pages>3</Pages>
  <Words>439</Words>
  <Characters>2737</Characters>
  <CharactersWithSpaces>3043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2017-04-19T10:22:00Z</dcterms:created>
  <dc:creator>user</dc:creator>
  <dc:description/>
  <dc:language>ru-RU</dc:language>
  <cp:lastModifiedBy/>
  <dcterms:modified xsi:type="dcterms:W3CDTF">2017-04-20T10:22:51Z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