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79" w:rsidRDefault="000D0379" w:rsidP="000D0379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instrText xml:space="preserve"> HYPERLINK "</w:instrText>
      </w:r>
      <w:r w:rsidRPr="000D037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instrText>http://gossmi.ru/</w:instrTex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fldChar w:fldCharType="separate"/>
      </w:r>
      <w:r w:rsidRPr="00EA09ED">
        <w:rPr>
          <w:rStyle w:val="a6"/>
          <w:rFonts w:ascii="Arial" w:eastAsia="Times New Roman" w:hAnsi="Arial" w:cs="Arial"/>
          <w:kern w:val="36"/>
          <w:sz w:val="27"/>
          <w:szCs w:val="27"/>
          <w:lang w:eastAsia="ru-RU"/>
        </w:rPr>
        <w:t>http://gossmi.ru/</w:t>
      </w: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fldChar w:fldCharType="end"/>
      </w:r>
    </w:p>
    <w:p w:rsidR="000D0379" w:rsidRPr="000D0379" w:rsidRDefault="000D0379" w:rsidP="000D0379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0D037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Почвенный покров в Ростовской области</w:t>
      </w:r>
    </w:p>
    <w:bookmarkEnd w:id="0"/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системой природно-сельскохозяйственного районирования земельного фонда Ростовская область расположена в умеренном природно-сельскохозяйственном поясе в двух зонах: степной – обыкновенных и южных чернозёмов и сухостепной – тёмно-каштановых и каштановых почв. В общей структуре почвенного покрова преобладают чернозёмы, на долю которых приходится 5 347,0 тыс. га (57,9 % территории области) (рис. 4).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Всего в почвенном покрове области насчитывается 22 типа и около 2000 разновидностей почв, распространение которых в пространстве свидетельствует о долготном характере смены почвенных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подзон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фаций. Наиболее плодородные обыкновенные чернозёмы запада области сменяются в центре менее плодородными южными чернозёмами, а на востоке –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низкопродуктивными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комплексами каштановых почв с солнцами (табл. 1.12).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Сплошное залегание зональных почв расчленяется интразональными почвами речных долин Дона, Северского Донца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Маныча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азональными почвами овражно-болотного комплекса и солонцами. Чернозёмы и каштановые почвы составляют основу пахотных земель области. Они обладают высоким плодородием.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C0C0FE"/>
          <w:left w:val="outset" w:sz="6" w:space="0" w:color="C0C0FE"/>
          <w:bottom w:val="outset" w:sz="6" w:space="0" w:color="C0C0FE"/>
          <w:right w:val="outset" w:sz="6" w:space="0" w:color="C0C0FE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28"/>
      </w:tblGrid>
      <w:tr w:rsidR="000D0379" w:rsidRPr="000D0379" w:rsidTr="000D0379">
        <w:trPr>
          <w:jc w:val="center"/>
        </w:trPr>
        <w:tc>
          <w:tcPr>
            <w:tcW w:w="0" w:type="auto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6125" cy="4829810"/>
                  <wp:effectExtent l="0" t="0" r="3175" b="8890"/>
                  <wp:docPr id="6" name="Рисунок 6" descr="Почвенная карта Ростов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чвенная карта Рост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25" cy="482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4. Почвенная карта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чернозёмов наибольшие площади (30 % территории области) занимают южные чернозёмы обыкновенные всех фаций – 23,7 %, а каштановые почвы всех подтипов – 24,9 %.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Качество земельных угодий области характеризуется данными четвёртого тура оценки земель, выполненного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ЮжНИИгипроземом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баллы: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бонитет почв пашни – 53;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частная оценка относительно основных сельскохозяйственных культур: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зерновые -   51,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кукуруза на зерно 63,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подсолнечник -   41, 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многолетние травы   -23,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оценка природных кормовых угодий: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сенокосы  -   8,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пастбища -   6. 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1.12 – Структура почвенного покрова Ростовской области, тыс. га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C0C0FE"/>
          <w:left w:val="outset" w:sz="6" w:space="0" w:color="C0C0FE"/>
          <w:bottom w:val="outset" w:sz="6" w:space="0" w:color="C0C0FE"/>
          <w:right w:val="outset" w:sz="6" w:space="0" w:color="C0C0F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12"/>
        <w:gridCol w:w="1048"/>
        <w:gridCol w:w="810"/>
        <w:gridCol w:w="1519"/>
        <w:gridCol w:w="1187"/>
        <w:gridCol w:w="2615"/>
      </w:tblGrid>
      <w:tr w:rsidR="000D0379" w:rsidRPr="000D0379" w:rsidTr="000D0379">
        <w:trPr>
          <w:jc w:val="center"/>
        </w:trPr>
        <w:tc>
          <w:tcPr>
            <w:tcW w:w="3396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152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3312" w:type="dxa"/>
            <w:gridSpan w:val="4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угодьям</w:t>
            </w:r>
          </w:p>
        </w:tc>
      </w:tr>
      <w:tr w:rsidR="000D0379" w:rsidRPr="000D0379" w:rsidTr="000D0379">
        <w:trPr>
          <w:jc w:val="center"/>
        </w:trPr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Многолетние насаждения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сельскохозяйственные угодья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Черноземы обыкновенные</w:t>
            </w:r>
          </w:p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теплые промерзающие</w:t>
            </w:r>
          </w:p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теплые кратковременно промерзающие</w:t>
            </w:r>
          </w:p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теплые кратковременно промерзающие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Черноземы южные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Лугово-черноземные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Темно-каштановые и их комплексы с солонцами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Каштановые и их комплексы с солонцами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Комплексы </w:t>
            </w:r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светло-каштановых</w:t>
            </w:r>
            <w:proofErr w:type="gram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солонцами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Лугово-</w:t>
            </w: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каштановые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Луговые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Аллювиальные луговые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Аллювиальные болотные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Солонцы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Солончаки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Почвы балок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Обнажение рыхлых и плотных пород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9366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5726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городов, промышленности и транспорта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водой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</w:tr>
      <w:tr w:rsidR="000D0379" w:rsidRPr="000D0379" w:rsidTr="000D0379">
        <w:trPr>
          <w:jc w:val="center"/>
        </w:trPr>
        <w:tc>
          <w:tcPr>
            <w:tcW w:w="33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10097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5862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8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1552</w:t>
            </w:r>
          </w:p>
        </w:tc>
      </w:tr>
    </w:tbl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почвенные показатели, обуславливающие плодородие почв (мощность гумусового слоя, содержание гумуса, запасы гумуса,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карбонатность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уменьшаются в направлении с запада на восток.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 приведена характеристика почвенного покрова по гранулометрическому составу и признакам, влияющим на плодородие (табл. 1.13, рис. 5).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Наиболее плодородные земли имеют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Кагальницкий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Зерноградский районы (бонитет почв пашни соответственно 71 и 70 баллов), а наименее плодородные – в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Заветинском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– 21 балл.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Таблица 1.13 - Характеристика почвенного покрова по гранулометрическому составу и признакам,  влияющим на плодородие, % от площади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пиродно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-климатической зоны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C0C0FE"/>
          <w:left w:val="outset" w:sz="6" w:space="0" w:color="C0C0FE"/>
          <w:bottom w:val="outset" w:sz="6" w:space="0" w:color="C0C0FE"/>
          <w:right w:val="outset" w:sz="6" w:space="0" w:color="C0C0F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50"/>
        <w:gridCol w:w="1069"/>
        <w:gridCol w:w="1171"/>
        <w:gridCol w:w="1461"/>
        <w:gridCol w:w="1411"/>
        <w:gridCol w:w="770"/>
        <w:gridCol w:w="1171"/>
      </w:tblGrid>
      <w:tr w:rsidR="000D0379" w:rsidRPr="000D0379" w:rsidTr="000D0379">
        <w:trPr>
          <w:jc w:val="center"/>
        </w:trPr>
        <w:tc>
          <w:tcPr>
            <w:tcW w:w="3972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64" w:type="dxa"/>
            <w:gridSpan w:val="6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Природно-сельскохозяйственные зоны Ростовской области</w:t>
            </w:r>
          </w:p>
        </w:tc>
      </w:tr>
      <w:tr w:rsidR="000D0379" w:rsidRPr="000D0379" w:rsidTr="000D0379">
        <w:trPr>
          <w:jc w:val="center"/>
        </w:trPr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северо-западная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северо-восточная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орошаемая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приазовская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восточная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Гранулометрический состав: глинистый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тяжелосуглинистый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74,5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среднесуглинистый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8,3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легкосуглинистый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супесчаный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песчаный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Засоленные</w:t>
            </w:r>
            <w:proofErr w:type="gram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солончаки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Солонцовые комплексы – всего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более 50%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Переувлажненные – </w:t>
            </w: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2,6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Заболоченные</w:t>
            </w:r>
            <w:proofErr w:type="gram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Каменистые</w:t>
            </w:r>
            <w:proofErr w:type="gram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щебенчатые - всего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Дефлированные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слабо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Подверженные водной эрозии - всего</w:t>
            </w:r>
            <w:proofErr w:type="gramEnd"/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слабо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Сильно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0D0379" w:rsidRPr="000D0379" w:rsidTr="000D0379">
        <w:trPr>
          <w:jc w:val="center"/>
        </w:trPr>
        <w:tc>
          <w:tcPr>
            <w:tcW w:w="397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Подверженные совместному проявлению водной и ветровой эрозии</w:t>
            </w:r>
            <w:proofErr w:type="gramEnd"/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</w:tbl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Почвенно-климатические условия области в целом благоприятны для разностороннего развития сельскохозяйственного производства. Однако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процессе эксплуатации почвенного покрова области развились процессы его деградации, которые постоянно углубляются и расширяются.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области практически не осталось земель, которые не испытали антропогенное воздействие, преимущественно негативного характера. Почвенный покров претерпел значительные изменения: сократились площади наиболее ценных почв, уменьшился уровень плодородия всего почвенного покрова. При этом на сельскохозяйственных угодьях наблюдается прогрессирующее распространение следующих негативных процессов: водная и ветровая эрозия,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дегумификация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почв, засоление,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осолонцевание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переуплотнение, переувлажнение, опустынивание и др.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838190" cy="3282315"/>
            <wp:effectExtent l="0" t="0" r="0" b="0"/>
            <wp:docPr id="5" name="Рисунок 5" descr="Характеристика почвенного покрова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рактеристика почвенного покрова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5. Характеристика почвенного покрова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последние годы отмечается рост овражной эрозии и абразии берегов Таганрогского залива, Цимлянского,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Весёловского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Пролетарского водохранилища.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результатов, ранее проведенных работ по мониторингу земель показывает, что продолжается рост овражно-балочных систем, и их интенсивность значительно возросла. 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Подъем уровня грунтовых вод составил в среднем 8 см или 5,3 % от исходного значения, идет увеличение степени их минерализации, количество гумуса уменьшилось по всему профилю от 2,5 до 14,7 %, продолжается переувлажнение почв, вызванных с формирование верховодки и поднятием уровня грунтовых вод, что вызывает поднятие легкорастворимых солей с восходящими водами ближе к поверхности и накопление их в верхней части профиля.</w:t>
      </w:r>
      <w:proofErr w:type="gramEnd"/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на сельскохозяйственных угодьях наблюдается прогрессирующее распространение следующих негативных процессов: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водная эрозия на площади 3,22 млн. га;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ветровая эрозия – 6,01 млн. га;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подтопление – 0,3 млн. га;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засоление – 0,3 млн. га;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осолонцевание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1,6 млн. га;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дегумификация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7,4 млн. га.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Процессы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дегумификации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наблюдаются на всех почвах пашни и частично естественных кормовых угодьях (табл. 1.14).</w:t>
      </w:r>
    </w:p>
    <w:p w:rsidR="000D0379" w:rsidRPr="000D0379" w:rsidRDefault="000D0379" w:rsidP="000D0379">
      <w:pPr>
        <w:shd w:val="clear" w:color="auto" w:fill="FFFFFF"/>
        <w:spacing w:before="401" w:after="40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0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1.14 – Динамика содержания гумуса в почвах Ростовской области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C0C0FE"/>
          <w:left w:val="outset" w:sz="6" w:space="0" w:color="C0C0FE"/>
          <w:bottom w:val="outset" w:sz="6" w:space="0" w:color="C0C0FE"/>
          <w:right w:val="outset" w:sz="6" w:space="0" w:color="C0C0FE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64"/>
        <w:gridCol w:w="785"/>
        <w:gridCol w:w="785"/>
        <w:gridCol w:w="784"/>
        <w:gridCol w:w="784"/>
        <w:gridCol w:w="718"/>
        <w:gridCol w:w="772"/>
        <w:gridCol w:w="688"/>
      </w:tblGrid>
      <w:tr w:rsidR="000D0379" w:rsidRPr="000D0379" w:rsidTr="000D0379">
        <w:trPr>
          <w:jc w:val="center"/>
        </w:trPr>
        <w:tc>
          <w:tcPr>
            <w:tcW w:w="1692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Природно-сельскохозяйственные зоны</w:t>
            </w:r>
          </w:p>
        </w:tc>
        <w:tc>
          <w:tcPr>
            <w:tcW w:w="6372" w:type="dxa"/>
            <w:gridSpan w:val="7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содержание гумуса, %, годы</w:t>
            </w:r>
          </w:p>
        </w:tc>
      </w:tr>
      <w:tr w:rsidR="000D0379" w:rsidRPr="000D0379" w:rsidTr="000D0379">
        <w:trPr>
          <w:jc w:val="center"/>
        </w:trPr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1976-1980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1981-1985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1996-2000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2006-2010</w:t>
            </w:r>
          </w:p>
        </w:tc>
      </w:tr>
      <w:tr w:rsidR="000D0379" w:rsidRPr="000D0379" w:rsidTr="000D0379">
        <w:trPr>
          <w:jc w:val="center"/>
        </w:trPr>
        <w:tc>
          <w:tcPr>
            <w:tcW w:w="16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</w:tr>
      <w:tr w:rsidR="000D0379" w:rsidRPr="000D0379" w:rsidTr="000D0379">
        <w:trPr>
          <w:jc w:val="center"/>
        </w:trPr>
        <w:tc>
          <w:tcPr>
            <w:tcW w:w="16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0D0379" w:rsidRPr="000D0379" w:rsidTr="000D0379">
        <w:trPr>
          <w:jc w:val="center"/>
        </w:trPr>
        <w:tc>
          <w:tcPr>
            <w:tcW w:w="16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0D0379" w:rsidRPr="000D0379" w:rsidTr="000D0379">
        <w:trPr>
          <w:jc w:val="center"/>
        </w:trPr>
        <w:tc>
          <w:tcPr>
            <w:tcW w:w="16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Приазовская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0D0379" w:rsidRPr="000D0379" w:rsidTr="000D0379">
        <w:trPr>
          <w:jc w:val="center"/>
        </w:trPr>
        <w:tc>
          <w:tcPr>
            <w:tcW w:w="16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0D0379" w:rsidRPr="000D0379" w:rsidTr="000D0379">
        <w:trPr>
          <w:jc w:val="center"/>
        </w:trPr>
        <w:tc>
          <w:tcPr>
            <w:tcW w:w="16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6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82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3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74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</w:tbl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Основной причиной уменьшения содержания гумуса являются эрозионные процессы. В отдельных районах потери гумуса доходят до 1,1%, особенно сильно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дегумификация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проявляется на орошаемых землях. В чернозёмах снижение гумуса произошло с 4,0 до 3,5%, а в каштановых почвах – с 2,8 до </w:t>
      </w:r>
      <w:proofErr w:type="spellStart"/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spellEnd"/>
      <w:proofErr w:type="gram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2,35%.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означает, что почвы утратили трансформируемое органическое вещество по отношению к его содержанию на целине в результате биологической минерализации. Поддержать это равновесие можно внесением органических удобрений, расширением посевов многолетних трав, а также заделкой послеуборочных остатков.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Уменьшение гумусового слоя наблюдается в районах с преобладанием водной эрозии почв. В юго-восточных и южных районах, где периодически появляются пыльные бури, уменьшение гумусового слоя почв происходит менее интенсивно.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практически исчезли сверхмощные чернозёмы (А+В более 120 см), увеличилась доля среднемощных. Кроме эрозии на уменьшение почвенного профиля влияет также постепенное перемещение почвы сельхозмашинами с вершин и склонов.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Увеличение щёлочности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карбонатности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пахотных почв происходит в результате глубокой их обработки с оборотом пласта и подтягивания к поверхности более щелочных и карбонатных слоёв. Эти процессы усугубляются водной эрозией и дефляцией. Наиболее плодородные верхние слои почвы смываются, и на поверхность выходят горизонты аккумуляции карбонатов, имеющие высокую щёлочность. Этими процессами затрагиваются практически все почвы области.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эрозионных процессов снижается плодородие почв, увеличивается расчлененность сельскохозяйственных угодий, ухудшается водный режим почв и влагообеспеченность полей, что наносит ущерб сельскохозяйственному производству.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Эрозионные процессы являются одной из основных причин уменьшения содержания гумуса в почве. Эрозия является самым распространенным и наиболее разрушительным негативным процессом. 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Водная эрозия преобладает в северных, а ветровая – в южных и восточных районах области.</w:t>
      </w:r>
      <w:proofErr w:type="gramEnd"/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причинами развития эрозионных процессов являются, прежде всего, высокая степень сельскохозяйственной освоенности земель, интенсивная обработка почв. Недостаточное внесение органических и минеральных удобрений, несоблюдение структуры посевных площадей и противоэрозионной агротехники приводят к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дегумификации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земель, увеличению щелочности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карбонатности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почв.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Выделение эрозионных районов осуществлено путем анализа почвенных, климатических, геоморфологических и ландшафтных условий развития территории. Базовыми материалами явились подготовленная промежуточная гипсометрическая карта; космические снимки (позволившие выявить местоположение овражно-балочной сети) и материалы почвенных обследований. Основу показателей развития эрозионных процессов составляют следующие характеристики: удельный вес смытых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дефляционноопасных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почв, преобладающие уклоны местности, развитие овражно-балочной сети, степень проявления водной и ветровой эрозии.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интенсивности развития эрозионных процессов территория области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раделена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следующим образом: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земли пойм и надпойменных террас, безопасные в эрозионном отношении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эрозионноопасные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средняя и сильная степень развития водной эрозии;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совместное проявление водной и ветровой эрозии в разной степени интенсивности;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ветровой (дефляции) с соответствующим выделением почвенно-эрозионных районов, в результате чего составлена карта эрозионного районирования Ростовской области (рис. 6-7).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677410" cy="3681095"/>
            <wp:effectExtent l="0" t="0" r="8890" b="0"/>
            <wp:docPr id="4" name="Рисунок 4" descr="Карта-схема земель,подверженных водной эрозии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-схема земель,подверженных водной эрозии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6. Карта-схема земель, подверженных водной эрозии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90085" cy="3387725"/>
            <wp:effectExtent l="0" t="0" r="5715" b="3175"/>
            <wp:docPr id="3" name="Рисунок 3" descr="Карта – схема земель поверженных ветровой э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– схема земель поверженных ветровой эроз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7. Карта – схема земель поверженных ветровой эрозии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Увеличились площади засоленных земель, что связано с  несоблюдением рекомендуемого режима орошения и изношенностью поливной техники и оросительных систем.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Оглеение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почв наблюдается преимущественно на орошаемых землях, особенно в рисовых севооборотах.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богарной пашни этот процесс зафиксирован на подтопляемых и заболоченных землях («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мочарах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и интенсивность проявления этих процессов и явлений отличаются по природно-сельскохозяйственным зонам области.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наиболее благоприятные условия для растениеводства в области имеют районы южной 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зерно-скотоводческой</w:t>
      </w:r>
      <w:proofErr w:type="gram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зоны и, особенно Зерноградский,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Целинский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Егорлыкский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районы.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Почвенный покров этих территорий испытывает те же негативные процессы и явления, что и другие районы области. Однако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здесь наиболее остро стоит вопрос о защите почв от переувлажнения.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восточных районах области получили широкое распространение процессы опустынивания земель. В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Зимовниковском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Ремонтненском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Дубовском районах опустыниванием охвачено около 800 тыс. га земель. Развитию этого процесса способствуют засухи и частые суховейные явления, малое количество атмосферных осадков.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Процессы опустынивания в Ростовской области наблюдаются в восточной зоне – Орловском,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Зимовниковском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Дубовском,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Заветинском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Ремонтненском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районах (рис. 8-9).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площадь этой зоны составляет 2,1 млн. га, из них пашня – 1,1 млн. га, естественные сенокосы и пастбища – 0,8 млн. га.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последним имеющимся данным (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ЮжНИИгипрозем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РГУ) в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Зимовниковском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Ремонтненском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Дубовском районах процессами опустынивания в различных его формах охвачено более половины территории, а остальная часть потенциально опасна в этом отношении, подвергаясь опустыниванию в той или иной мере в отдельные годы.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193030" cy="3704590"/>
            <wp:effectExtent l="0" t="0" r="7620" b="0"/>
            <wp:docPr id="2" name="Рисунок 2" descr=" Карта-схема опустынивания природных кормовых угод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Карта-схема опустынивания природных кормовых угод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8. Карта-схема опустынивания природных кормовых угодий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34000" cy="3610610"/>
            <wp:effectExtent l="0" t="0" r="0" b="8890"/>
            <wp:docPr id="1" name="Рисунок 1" descr="Карта – схема по степени деградации зем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 – схема по степени деградации земе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Рисунок 9. Карта – схема по степени деградации земель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можно сделать вывод о направлении почвообразовательного процесса в сторону деградации почв, уменьшения питательных веществ как за счет недостаточного внесения минеральных и органических удобрений, так и за счет нарушения структуры севооборотов с преобладанием пропашных культур, выносящих значительное количество питательных веществ.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Сложившаяся ситуация требует срочных мер по проведению систематических мониторинговых исследований земель, как главного средства оценки и прогнозирования изменений их состояния для выработки решений по улучшению условий использования земель, предупреждению и устранению негативных процессов в почвах.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земель. В Ростовской области оценка земель проводилась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ЮжНИИгипроземом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1992-1993 годах на основе крупномасштабных почвенных и геоботанических обследований. 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Основу оценочных работ составляют бонитировка почв (оценка почв по природным свойствам) и частная оценка (относительно продуктивности отдельных культур (табл. 1.16).</w:t>
      </w:r>
      <w:proofErr w:type="gramEnd"/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1.16 – Оценка земель природно-сельскохозяйственных зон, баллы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C0C0FE"/>
          <w:left w:val="outset" w:sz="6" w:space="0" w:color="C0C0FE"/>
          <w:bottom w:val="outset" w:sz="6" w:space="0" w:color="C0C0FE"/>
          <w:right w:val="outset" w:sz="6" w:space="0" w:color="C0C0F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40"/>
        <w:gridCol w:w="843"/>
        <w:gridCol w:w="987"/>
        <w:gridCol w:w="874"/>
        <w:gridCol w:w="1409"/>
        <w:gridCol w:w="681"/>
        <w:gridCol w:w="1300"/>
        <w:gridCol w:w="965"/>
        <w:gridCol w:w="1004"/>
      </w:tblGrid>
      <w:tr w:rsidR="000D0379" w:rsidRPr="000D0379" w:rsidTr="000D0379">
        <w:trPr>
          <w:jc w:val="center"/>
        </w:trPr>
        <w:tc>
          <w:tcPr>
            <w:tcW w:w="2016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912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Бонитет почв пашни</w:t>
            </w:r>
          </w:p>
        </w:tc>
        <w:tc>
          <w:tcPr>
            <w:tcW w:w="3408" w:type="dxa"/>
            <w:gridSpan w:val="5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Частная оценка пашни по культурам</w:t>
            </w:r>
          </w:p>
        </w:tc>
        <w:tc>
          <w:tcPr>
            <w:tcW w:w="1332" w:type="dxa"/>
            <w:gridSpan w:val="2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кормовые угодья</w:t>
            </w:r>
          </w:p>
        </w:tc>
      </w:tr>
      <w:tr w:rsidR="000D0379" w:rsidRPr="000D0379" w:rsidTr="000D0379">
        <w:trPr>
          <w:jc w:val="center"/>
        </w:trPr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многолетние травы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пастбища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Северо-западная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Северо-восточная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Приазовская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0379" w:rsidRPr="000D0379" w:rsidTr="000D0379">
        <w:trPr>
          <w:jc w:val="center"/>
        </w:trPr>
        <w:tc>
          <w:tcPr>
            <w:tcW w:w="20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91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Сравнительный анализ результатов оценки земель показывает, что наиболее плодородные земли имеет южная зона. Удачное сочетание плодородных почв и мягкого, сравнительно влажного климата позволяет при существующей агротехнике получать здесь наибольшие урожаи районированных сельскохозяйственных культур. Наименее благоприятны условия для земледелия в восточной зоне.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этим на первом этапе оптимизации соотношения сельскохозяйственных угодий актуален вопрос о трансформации деградированной пашни и других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низкопродуктивных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земель в менее ценные угодья, мелиоративный фонд и др. Это позволит вывести из интенсивного сельскохозяйственного использования наименее плодородные, деградированные почвы и </w:t>
      </w: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увеличить</w:t>
      </w:r>
      <w:proofErr w:type="gram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 образом долю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средостабилизирующих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угодий.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природно-сельскохозяйственным зонам причины трансформации пашни в менее ценные угодья в процентном отношении значительно различаются, что является характерной особенностью каждой зоны.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общей площади занятой многолетними насаждениями и составляющей 38,5 тыс. га, рекомендуются к трансформации 3,5 тыс. га по причинам переувлажнения, сильной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эродированности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наличия солонцовых пятен.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различный уровень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облесенности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пахотных земель и сельскохозяйственных угодий, который, по расчетам специалистов, считается недостаточным как по области (соответственно 3,8 и 3,3%), так и по природно-хозяйственным зонам, и в связи с необходимостью доведения до оптимального уровня (5-5,5%), потребуется отвод земельных угодий в пределах 50-55 тыс. га, из которых 70-75% за счет пашни (табл. 1.17).</w:t>
      </w:r>
      <w:proofErr w:type="gramEnd"/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Таблица 1.17 - Фактическая и оптимально необходимая лесистость территории,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облесенность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пашни и с.-х. угодий по природно-хозяйственным зонам и области в целом, %</w:t>
      </w:r>
    </w:p>
    <w:p w:rsidR="000D0379" w:rsidRPr="000D0379" w:rsidRDefault="000D0379" w:rsidP="000D0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680" w:type="dxa"/>
        <w:jc w:val="center"/>
        <w:tblBorders>
          <w:top w:val="outset" w:sz="6" w:space="0" w:color="C0C0FE"/>
          <w:left w:val="outset" w:sz="6" w:space="0" w:color="C0C0FE"/>
          <w:bottom w:val="outset" w:sz="6" w:space="0" w:color="C0C0FE"/>
          <w:right w:val="outset" w:sz="6" w:space="0" w:color="C0C0F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5"/>
        <w:gridCol w:w="883"/>
        <w:gridCol w:w="1142"/>
        <w:gridCol w:w="815"/>
        <w:gridCol w:w="1008"/>
        <w:gridCol w:w="916"/>
        <w:gridCol w:w="1131"/>
      </w:tblGrid>
      <w:tr w:rsidR="000D0379" w:rsidRPr="000D0379" w:rsidTr="000D0379">
        <w:trPr>
          <w:jc w:val="center"/>
        </w:trPr>
        <w:tc>
          <w:tcPr>
            <w:tcW w:w="1788" w:type="dxa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Природно-хозяйственные зоны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Лесистость территории</w:t>
            </w:r>
          </w:p>
        </w:tc>
        <w:tc>
          <w:tcPr>
            <w:tcW w:w="3876" w:type="dxa"/>
            <w:gridSpan w:val="4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Облесенность</w:t>
            </w:r>
            <w:proofErr w:type="spellEnd"/>
          </w:p>
        </w:tc>
      </w:tr>
      <w:tr w:rsidR="000D0379" w:rsidRPr="000D0379" w:rsidTr="000D0379">
        <w:trPr>
          <w:jc w:val="center"/>
        </w:trPr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2052" w:type="dxa"/>
            <w:gridSpan w:val="2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с.-х. угодий</w:t>
            </w:r>
          </w:p>
        </w:tc>
      </w:tr>
      <w:tr w:rsidR="000D0379" w:rsidRPr="000D0379" w:rsidTr="000D0379">
        <w:trPr>
          <w:jc w:val="center"/>
        </w:trPr>
        <w:tc>
          <w:tcPr>
            <w:tcW w:w="0" w:type="auto"/>
            <w:vMerge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vAlign w:val="center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мальная</w:t>
            </w:r>
            <w:proofErr w:type="spellEnd"/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опти-мальная</w:t>
            </w:r>
            <w:proofErr w:type="spellEnd"/>
            <w:proofErr w:type="gramEnd"/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</w:t>
            </w:r>
            <w:proofErr w:type="spellEnd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мальная</w:t>
            </w:r>
            <w:proofErr w:type="spellEnd"/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Северо-западная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Северо-восточная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орошаемая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Приазовская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0D0379" w:rsidRPr="000D0379" w:rsidTr="000D0379">
        <w:trPr>
          <w:jc w:val="center"/>
        </w:trPr>
        <w:tc>
          <w:tcPr>
            <w:tcW w:w="17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области</w:t>
            </w:r>
          </w:p>
        </w:tc>
        <w:tc>
          <w:tcPr>
            <w:tcW w:w="888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2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1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6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24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40" w:type="dxa"/>
            <w:tcBorders>
              <w:top w:val="outset" w:sz="6" w:space="0" w:color="C0C0FE"/>
              <w:left w:val="outset" w:sz="6" w:space="0" w:color="C0C0FE"/>
              <w:bottom w:val="outset" w:sz="6" w:space="0" w:color="C0C0FE"/>
              <w:right w:val="outset" w:sz="6" w:space="0" w:color="C0C0FE"/>
            </w:tcBorders>
            <w:shd w:val="clear" w:color="auto" w:fill="FFFFFF"/>
            <w:hideMark/>
          </w:tcPr>
          <w:p w:rsidR="000D0379" w:rsidRPr="000D0379" w:rsidRDefault="000D0379" w:rsidP="000D0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</w:tr>
    </w:tbl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качестве нормативной базы, обеспечивающей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средовосстановление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можно использовать показатели водного режима территории, в частности поверхностный сток.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Влагооборот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степной и сухостепной зонах существенным образом зависит от </w:t>
      </w: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облесенности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пашни, соотношения в структуре полевых площадей рыхлой (зябь) и уплотненной (посевы озимых и многолетних трав) пашни, взаиморасположения поля и искусственных лесных насаждений и др.</w:t>
      </w:r>
      <w:proofErr w:type="gramEnd"/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это можно учесть и использовать для оптимизации водного режима территории, чтобы рационально использовать атмосферные осадки, увеличив коэффициент их использования с 0,39 в настоящее время до 0,70-0,80 при оптимальном соотношении угодий.</w:t>
      </w:r>
    </w:p>
    <w:p w:rsidR="000D0379" w:rsidRPr="000D0379" w:rsidRDefault="000D0379" w:rsidP="000D0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Средовосстановление</w:t>
      </w:r>
      <w:proofErr w:type="spellEnd"/>
      <w:r w:rsidRPr="000D0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влияние на водный режим территории, в первую очередь посредством сокращения стока талых и дождевых вод, предполагает уменьшение процессов эрозии и дефляции до контролируемых величин (3-3,5 т/га), а в дальнейшем восстановление плодородия малопродуктивных почв.</w:t>
      </w:r>
    </w:p>
    <w:p w:rsidR="00920DAB" w:rsidRDefault="00920DAB"/>
    <w:sectPr w:rsidR="0092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4"/>
    <w:rsid w:val="000009A4"/>
    <w:rsid w:val="000D0379"/>
    <w:rsid w:val="009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D0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0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-"/>
    <w:basedOn w:val="a"/>
    <w:rsid w:val="000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3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D0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0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-"/>
    <w:basedOn w:val="a"/>
    <w:rsid w:val="000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3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7820-5C46-49F0-80A3-B4DE627F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konfzal</dc:creator>
  <cp:lastModifiedBy>konfzal</cp:lastModifiedBy>
  <cp:revision>2</cp:revision>
  <dcterms:created xsi:type="dcterms:W3CDTF">2016-09-20T07:19:00Z</dcterms:created>
  <dcterms:modified xsi:type="dcterms:W3CDTF">2016-09-20T07:19:00Z</dcterms:modified>
</cp:coreProperties>
</file>